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AC" w:rsidRPr="00DF6B8F" w:rsidRDefault="00F95642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62700" cy="9140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овани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967" cy="91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96EAC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ДОУ. Отношения между родителями воспитанников и законными представителями строятся на договорной основе.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Дошкольное учреждение укомплектовано воспитанниками на 100%, что соответствует нормативам наполняемости групп.</w:t>
      </w:r>
    </w:p>
    <w:p w:rsidR="00396EAC" w:rsidRPr="00DF6B8F" w:rsidRDefault="00396EAC" w:rsidP="00DF6B8F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образовательной деятельности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Муниципальном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автономном 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дошкольном образовательном учреждении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етский сад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№6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Шимановска»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2017 году функционировало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групп.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них: </w:t>
      </w:r>
    </w:p>
    <w:p w:rsidR="00396EAC" w:rsidRPr="00DF6B8F" w:rsidRDefault="003E44A9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младшая  (1,6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 лет) — 2</w:t>
      </w:r>
      <w:r w:rsidR="00396EAC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96EAC" w:rsidRPr="00DF6B8F" w:rsidRDefault="002C253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младшая (3 – 4 лет)  – 3</w:t>
      </w:r>
      <w:r w:rsidR="00396EAC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96EAC" w:rsidRPr="00DF6B8F" w:rsidRDefault="002C253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группа (4 – 5</w:t>
      </w:r>
      <w:r w:rsidR="00396EAC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6EAC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Старшая группа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(5 - 6 лет) – 3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Подготовительная к школе группа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(6-7 лет) – 2.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Списочный состав в 2017 года составил </w:t>
      </w:r>
      <w:r w:rsidR="002C2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260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воспитанников.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реализованы в полном объеме.</w:t>
      </w:r>
    </w:p>
    <w:p w:rsidR="00396EAC" w:rsidRPr="00DF6B8F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2017 году дополнительные программы не предоставлялись.</w:t>
      </w:r>
    </w:p>
    <w:p w:rsidR="00396EAC" w:rsidRPr="0027615B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преемственности образования ДОУ активно взаимодействует с М</w:t>
      </w:r>
      <w:r w:rsidR="002C253C"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E44A9"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C253C"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СОШ № 1</w:t>
      </w:r>
      <w:r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E44A9" w:rsidRPr="002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ДО ЦДТ</w:t>
      </w:r>
      <w:r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а также находится в едином образовательном пространстве с </w:t>
      </w:r>
      <w:r w:rsidR="002C253C"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городским</w:t>
      </w:r>
      <w:r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домом культуры </w:t>
      </w:r>
      <w:r w:rsidR="002C253C"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спорта города Шимановска</w:t>
      </w:r>
      <w:r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E44A9" w:rsidRPr="002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Амурский областной театр кукол «</w:t>
      </w:r>
      <w:proofErr w:type="spellStart"/>
      <w:r w:rsidR="003E44A9" w:rsidRPr="002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="003E44A9" w:rsidRPr="00276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44A9"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детской поликлиникой, </w:t>
      </w:r>
      <w:r w:rsidR="003E44A9" w:rsidRPr="002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Шимановский  краеведческий музей.</w:t>
      </w:r>
    </w:p>
    <w:p w:rsidR="00396EAC" w:rsidRPr="0027615B" w:rsidRDefault="00396EA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ДОУ функционирует в соответствии с действующим законодательством РФ.</w:t>
      </w:r>
    </w:p>
    <w:p w:rsidR="00CF22D8" w:rsidRPr="0027615B" w:rsidRDefault="00CF22D8" w:rsidP="0027615B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управления учреждением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Управление ДОУ</w:t>
      </w: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свою деятельность в соответствии: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Конституцией Российской Федерации,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Конвенцией «О правах ребенка»,</w:t>
      </w:r>
    </w:p>
    <w:p w:rsidR="00CF22D8" w:rsidRPr="00DD375E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Законом Российской Федерации «Об образовании в Российской Федерации» №273-ФЗ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законы Российской Федерации,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 и распоряжения Президента Российской Федерации,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 и распоряжения Правительства Российской Федерации,  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законодательные и иные правовые акты государственных органов,</w:t>
      </w:r>
    </w:p>
    <w:p w:rsidR="00CF22D8" w:rsidRPr="00DF6B8F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нормативные правовые акты органов местного самоуправления</w:t>
      </w:r>
      <w:r w:rsid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CF22D8" w:rsidRDefault="00CF22D8" w:rsidP="00DF6B8F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органов управления образованием всех уровней,</w:t>
      </w:r>
    </w:p>
    <w:p w:rsidR="00CF22D8" w:rsidRPr="00DD375E" w:rsidRDefault="00CF22D8" w:rsidP="00DD375E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CF22D8" w:rsidRPr="00DF6B8F" w:rsidRDefault="00CF22D8" w:rsidP="00DF6B8F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ДОУ</w:t>
      </w:r>
    </w:p>
    <w:p w:rsidR="00CF22D8" w:rsidRPr="00DF6B8F" w:rsidRDefault="00CF22D8" w:rsidP="00DF6B8F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локальные акты,</w:t>
      </w:r>
    </w:p>
    <w:p w:rsidR="00CF22D8" w:rsidRPr="003E44A9" w:rsidRDefault="00CF22D8" w:rsidP="003E44A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Санитарно-эпидемиологическими правила и нормы </w:t>
      </w:r>
      <w:proofErr w:type="gramStart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  2.4.1.3049</w:t>
      </w:r>
      <w:proofErr w:type="gramEnd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-13</w:t>
      </w:r>
      <w:r w:rsidRPr="003E4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F22D8" w:rsidRPr="00DF6B8F" w:rsidRDefault="00CF22D8" w:rsidP="003E4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Коллегиальными органами управления Учреждением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общее собрание работников, педагогический совет.</w:t>
      </w:r>
    </w:p>
    <w:p w:rsidR="00396EAC" w:rsidRPr="00DF6B8F" w:rsidRDefault="00CF22D8" w:rsidP="00DF6B8F">
      <w:pPr>
        <w:pStyle w:val="a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F6B8F">
        <w:rPr>
          <w:rFonts w:eastAsia="Times New Roman"/>
          <w:color w:val="000000" w:themeColor="text1"/>
          <w:sz w:val="24"/>
          <w:szCs w:val="24"/>
        </w:rPr>
        <w:t xml:space="preserve">   </w:t>
      </w:r>
      <w:r w:rsidR="002C253C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DF6B8F">
        <w:rPr>
          <w:rFonts w:eastAsia="Times New Roman"/>
          <w:color w:val="000000" w:themeColor="text1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DD375E" w:rsidRDefault="002C253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Учреждении по инициативе родителей (законных представителей) воспитанников действует родительский комитет ДОУ и родительские комитеты групп в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 реализации основной общеразвивающей программы </w:t>
      </w:r>
      <w:r w:rsid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МАДОУ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</w:t>
      </w:r>
      <w:r w:rsid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Шимановска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F22D8" w:rsidRPr="00DF6B8F" w:rsidRDefault="00DD375E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ДО. Родительский комитет функционирует  в ДОУ с целью учета мнения родителей (законных представителей) обучающихся и педагогических работников по вопросам управления Учрежде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нием  и при принятии Учреждением локальных нормативных актов, затрагивающие их права и законные интересы.</w:t>
      </w:r>
    </w:p>
    <w:p w:rsidR="00CF22D8" w:rsidRPr="00DF6B8F" w:rsidRDefault="002C253C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Родительский комитет: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содействует обеспечению материалов и оборудования для организации  образовательного процесса;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оказывает содействие в проведении массовых воспитательных мероприятий с детьми;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участвует в подготовке ДОУ к новому учебному году;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совместно с руководством ДОУ контролирует организацию качественного питания детей,  медицинского обслуживания;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оказывает помощь руководству ДОУ в организации и проведении общего родительского  собрания;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принимает участие в организации безопасных условий осуществления образовательного  процесса, выполнения санитарно-гигиенических правил и норм; 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взаимодействует с общественными организациями по вопросу пропаганды традиций ДОУ.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CF22D8" w:rsidRPr="00DF6B8F" w:rsidRDefault="00CF22D8" w:rsidP="00DF6B8F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и качество подготовки воспитанников.</w:t>
      </w:r>
    </w:p>
    <w:p w:rsidR="00CF22D8" w:rsidRPr="00DF6B8F" w:rsidRDefault="00DD375E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педагогического наблюдения выпускники ДОУ имеют следующие уровни готовности к обучению в школе: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CF22D8" w:rsidRPr="00DD375E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развития школьной зрелости: 64% — высокий уровень, 29% — средний, 7% — низкий;</w:t>
      </w:r>
    </w:p>
    <w:p w:rsidR="00CF22D8" w:rsidRPr="00DD375E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познавательного развития: 58% — высокий уровень, 40% — средний, 2% — низкий;</w:t>
      </w:r>
    </w:p>
    <w:p w:rsidR="00CF22D8" w:rsidRPr="00DD375E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концентрации и переключаемости внимания: 58% — высокий уровень, 40% — средний, 2% — низкий;</w:t>
      </w:r>
    </w:p>
    <w:p w:rsidR="00CF22D8" w:rsidRPr="00DD375E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коммуникативный качества:  60% — высокий уровень, 40% — средний;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мотивация учебной деятельности: 15% — у детей преобладает учебный мотив, 65% — наблюдается внешняя привлекательность мотива,  20% воспитанников  — учебные мотивы недостаточно сформированы.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целом можно отметить, что большинство детей готовы к обучению в школе.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Посещаемость воспитанников ДОУ в  2017  году составила 65%.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Востребованность выпускников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F22D8" w:rsidRPr="00DF6B8F" w:rsidRDefault="00CF22D8" w:rsidP="00A772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выпускников составило: </w:t>
      </w:r>
      <w:r w:rsidR="00276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человек; 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детей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учениками М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E4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 СОШ № 1 и М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E4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СОШ № 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CF22D8" w:rsidRPr="00DF6B8F" w:rsidRDefault="00CF22D8" w:rsidP="00A7720E">
      <w:pPr>
        <w:pStyle w:val="a6"/>
        <w:spacing w:before="100" w:beforeAutospacing="1" w:after="100" w:afterAutospacing="1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F6B8F">
        <w:rPr>
          <w:rFonts w:eastAsia="Times New Roman"/>
          <w:b/>
          <w:bCs/>
          <w:color w:val="000000" w:themeColor="text1"/>
          <w:sz w:val="24"/>
          <w:szCs w:val="24"/>
        </w:rPr>
        <w:t>Вывод:</w:t>
      </w:r>
      <w:r w:rsidRPr="00DF6B8F">
        <w:rPr>
          <w:rFonts w:eastAsia="Times New Roman"/>
          <w:color w:val="000000" w:themeColor="text1"/>
          <w:sz w:val="24"/>
          <w:szCs w:val="24"/>
        </w:rPr>
        <w:t> Содержание и качество подготовки воспитанников соответствует требованиям основной и адаптированной программам дошкольного образования</w:t>
      </w:r>
    </w:p>
    <w:p w:rsidR="00CF22D8" w:rsidRPr="00DF6B8F" w:rsidRDefault="00CF22D8" w:rsidP="00DF6B8F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учебного процесса:</w:t>
      </w:r>
    </w:p>
    <w:p w:rsidR="00CF22D8" w:rsidRPr="00DF6B8F" w:rsidRDefault="00224C85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CF22D8" w:rsidRPr="00DF6B8F" w:rsidRDefault="00224C85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F22D8" w:rsidRPr="00DF6B8F" w:rsidRDefault="00224C85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</w:t>
      </w:r>
    </w:p>
    <w:p w:rsidR="00CF22D8" w:rsidRPr="00DF6B8F" w:rsidRDefault="00224C85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работе ДОУ используются следующие педагогические технологии: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проблемное обучение,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игровые технологии,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проектная деятельность,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коллективное обучение,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proofErr w:type="spellStart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технологии.</w:t>
      </w:r>
    </w:p>
    <w:p w:rsidR="00CF22D8" w:rsidRPr="00DF6B8F" w:rsidRDefault="00224C85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 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CF22D8" w:rsidRPr="00DF6B8F" w:rsidRDefault="00CF22D8" w:rsidP="00DF6B8F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Качество кадрового, учебно – методического обеспечения, библиотечно – информационное обеспечение.</w:t>
      </w:r>
    </w:p>
    <w:p w:rsidR="00CF22D8" w:rsidRPr="00224C85" w:rsidRDefault="00CF22D8" w:rsidP="00224C85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Укомплектованность педагогическими кадрами – 100%. В ДОУ работают 1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воспитателей, имеются специалисты:  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  музыкальных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ководителя.</w:t>
      </w:r>
    </w:p>
    <w:p w:rsidR="000A23E9" w:rsidRPr="00DF6B8F" w:rsidRDefault="000A23E9" w:rsidP="00DF6B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педагогического состава</w:t>
      </w: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2"/>
        <w:gridCol w:w="5696"/>
        <w:gridCol w:w="1417"/>
      </w:tblGrid>
      <w:tr w:rsidR="000A23E9" w:rsidRPr="00DF6B8F" w:rsidTr="000A23E9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72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F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аведующий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Музыкальные руководители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E9" w:rsidRPr="00DF6B8F" w:rsidRDefault="000A23E9" w:rsidP="00A77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По образованию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педагогическое 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педагогическое  образование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заочно обучаются в педагогическом ВУЗе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99023B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E9" w:rsidRPr="00DF6B8F" w:rsidRDefault="000A23E9" w:rsidP="00A77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По возрасту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99023B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30-35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99023B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40-45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99023B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лет и старше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99023B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E9" w:rsidRPr="00DF6B8F" w:rsidRDefault="000A23E9" w:rsidP="00A77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По стажу педагогической деятельности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 лет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871F9F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 до 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 до 10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 до 15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871F9F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 до 20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871F9F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20 до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871F9F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E9" w:rsidRPr="00DF6B8F" w:rsidRDefault="000A23E9" w:rsidP="00A77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По результатам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 аттестации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871F9F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871F9F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3E4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имеют к</w:t>
            </w:r>
            <w:r w:rsidR="003E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валификационной  категории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3E9" w:rsidRPr="00DF6B8F" w:rsidRDefault="000A23E9" w:rsidP="00A77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По прохождению курсов повышения квалификации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3E4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базе </w:t>
            </w:r>
            <w:r w:rsidR="003E44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Новосибирского института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3E44A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0A23E9" w:rsidRPr="00DF6B8F" w:rsidTr="000A23E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9" w:rsidRPr="00DF6B8F" w:rsidRDefault="000A23E9" w:rsidP="00DF6B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F22D8" w:rsidRPr="00DF6B8F" w:rsidRDefault="00CF22D8" w:rsidP="00DF6B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2D8" w:rsidRPr="00DF6B8F" w:rsidRDefault="00A7720E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повышают квалификационную категорию на базе </w:t>
      </w:r>
      <w:proofErr w:type="gramStart"/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  в</w:t>
      </w:r>
      <w:proofErr w:type="gramEnd"/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системе и в соответствии с графиком. На конец отчетного периода</w:t>
      </w:r>
      <w:r w:rsidR="00224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всех педагогов  ДОУ- 100% (22 педагога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имеются  курсы повышения квалификации по ФГОС. В течение года педагоги ДОУ принимали участие в муниципальных семинарах, методических объединениях.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библиотечно – информационное обеспечение.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 Вывод: 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 – методическое обеспечение, библиотечно – информационное обеспечение в ДОУ соответствует требованиям реализуемой образовательной программы, обеспечивает 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учебно – методической литературы и электронно – образовательными ресурсами.</w:t>
      </w:r>
    </w:p>
    <w:p w:rsidR="00CF22D8" w:rsidRPr="00DF6B8F" w:rsidRDefault="00CF22D8" w:rsidP="00DF6B8F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Состояние материально – технической базы.</w:t>
      </w:r>
    </w:p>
    <w:p w:rsidR="00CF22D8" w:rsidRPr="00DF6B8F" w:rsidRDefault="00A7720E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Материально – техническое обеспечение соответствует требованиям, предъявляемым 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зданию</w:t>
      </w:r>
      <w:r w:rsidR="00CF22D8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помещениям ДОУ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r w:rsidR="00A7720E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 функциональности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стабильности и динамичности; требованиям обеспечения процессов присмотра и </w:t>
      </w:r>
      <w:proofErr w:type="gramStart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ухода  за</w:t>
      </w:r>
      <w:proofErr w:type="gramEnd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детьми.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Оборудование и оснащение групповых помещений и методического кабинета соответствует требованиям СанПиН, эстетическим  требованиям, соответствует принципу необходимости и достаточности для реализации основной общеразвивающей программы ДОУ.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Кабинет учителя-логопеда отвечает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Музыкальный зал отвечает гигиеническим и эстетическим требованиям, а также принципу необходимости и достаточности для реализации основной общеразвивающей программы ДОУ.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Участки ДОУ соответствуют требованиям СанПиН, но оснащены не достаточно, необходимо новое современное оборудование, необходимо провести капитальный </w:t>
      </w:r>
      <w:proofErr w:type="spellStart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</w:t>
      </w:r>
      <w:proofErr w:type="spellEnd"/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теневых навесов.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</w:t>
      </w:r>
      <w:r w:rsidR="00A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групповых </w:t>
      </w:r>
      <w:proofErr w:type="gramStart"/>
      <w:r w:rsidR="00A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,</w:t>
      </w:r>
      <w:proofErr w:type="gramEnd"/>
      <w:r w:rsidR="00A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участков ДОУ необходимо пополнять и совершенствовать.</w:t>
      </w:r>
    </w:p>
    <w:p w:rsidR="00CF22D8" w:rsidRPr="00DF6B8F" w:rsidRDefault="00CF22D8" w:rsidP="00DF6B8F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Функционирование внутренней системы оценки качества образования.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Целью системы оценки качества образования в 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CF22D8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A7720E" w:rsidRPr="00DF6B8F" w:rsidRDefault="00A7720E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2D8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A7720E" w:rsidRPr="00DF6B8F" w:rsidRDefault="00A7720E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2D8" w:rsidRDefault="00CF22D8" w:rsidP="00A7720E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деятельности</w:t>
      </w:r>
    </w:p>
    <w:p w:rsidR="00A7720E" w:rsidRPr="00DF6B8F" w:rsidRDefault="00A7720E" w:rsidP="00A7720E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96"/>
        <w:gridCol w:w="5246"/>
        <w:gridCol w:w="3117"/>
      </w:tblGrid>
      <w:tr w:rsidR="00CF22D8" w:rsidRPr="00DF6B8F" w:rsidTr="00CF22D8">
        <w:trPr>
          <w:trHeight w:val="397"/>
        </w:trPr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№   п/п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</w:t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(10,5 часов)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3927D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 ребенка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1.3.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от 3 лет до 7 лет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3927D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  <w:r w:rsidR="00CF22D8"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детей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1.4.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1.4.1.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(10,5 часов)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1.5.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 с ОВЗ в общей численности воспитанников, получающих услуги: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1.6.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 дней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1.7.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1.7.3.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1.7.4.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1.8.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1.8.1.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1.8.2.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1.9.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1.9.1.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F22D8"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1.9.2.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1.10.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F22D8"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CF22D8"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1.13.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CF22D8"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1.14.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0A12C3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1/12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1.15.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1.15.6.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2.1.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7A7BA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7,29</w:t>
            </w:r>
            <w:r w:rsidR="00CF22D8" w:rsidRPr="007A7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CF22D8" w:rsidRPr="007A7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2.2.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7A7BA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77м</w:t>
            </w:r>
            <w:r w:rsidRPr="007A7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2.3.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DF6B8F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CF22D8"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</w:t>
            </w: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2.4.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22D8" w:rsidRPr="00DF6B8F" w:rsidTr="00CF22D8">
        <w:tc>
          <w:tcPr>
            <w:tcW w:w="71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2.5.</w:t>
            </w:r>
          </w:p>
        </w:tc>
        <w:tc>
          <w:tcPr>
            <w:tcW w:w="26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2D8" w:rsidRPr="00DF6B8F" w:rsidRDefault="00CF22D8" w:rsidP="00DF6B8F">
            <w:pPr>
              <w:spacing w:before="150"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CF22D8" w:rsidRPr="00DF6B8F" w:rsidRDefault="00CF22D8" w:rsidP="00DF6B8F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CF22D8" w:rsidRPr="00DF6B8F" w:rsidRDefault="00CF22D8" w:rsidP="00DF6B8F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полностью укомплектовано педагогическими кадрами, за отчетны</w:t>
      </w:r>
      <w:r w:rsidR="007A7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календарный год педагоги повыси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квалификационную категорию: на первую – </w:t>
      </w:r>
      <w:r w:rsidR="00DF6B8F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DF6B8F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F6B8F"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%). Все педагогические и</w:t>
      </w:r>
      <w:r w:rsidR="007A7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административные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работники прошли курсы повышения квалификации по применению в образовательном процессе ФГОС ДО.</w:t>
      </w:r>
    </w:p>
    <w:p w:rsidR="00CF22D8" w:rsidRPr="00DF6B8F" w:rsidRDefault="00CF22D8" w:rsidP="00DF6B8F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CF22D8" w:rsidRPr="00DF6B8F" w:rsidRDefault="00CF22D8" w:rsidP="00DF6B8F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Средний показатель пропущенных дней воспитанниками по болезни  на одного воспитанника составил </w:t>
      </w:r>
      <w:r w:rsidRPr="007A7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1,7</w:t>
      </w: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дней, по сравнению с прошлым годом показатель не изменился.</w:t>
      </w:r>
    </w:p>
    <w:p w:rsidR="00CF22D8" w:rsidRPr="00DF6B8F" w:rsidRDefault="00CF22D8" w:rsidP="00DF6B8F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Достигнутые коллективом ДОУ результаты работы в течение 2017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CF22D8" w:rsidRPr="00DF6B8F" w:rsidRDefault="00CF22D8" w:rsidP="00DF6B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2D8" w:rsidRPr="00DF6B8F" w:rsidRDefault="00CF22D8" w:rsidP="00DF6B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F74" w:rsidRPr="00DF6B8F" w:rsidRDefault="00380F74" w:rsidP="00DF6B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0F74" w:rsidRPr="00DF6B8F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527"/>
    <w:multiLevelType w:val="multilevel"/>
    <w:tmpl w:val="95929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7166"/>
    <w:multiLevelType w:val="multilevel"/>
    <w:tmpl w:val="37B44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38625F2"/>
    <w:multiLevelType w:val="multilevel"/>
    <w:tmpl w:val="E39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42B14"/>
    <w:multiLevelType w:val="multilevel"/>
    <w:tmpl w:val="B79C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62334"/>
    <w:multiLevelType w:val="multilevel"/>
    <w:tmpl w:val="966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32ED4"/>
    <w:multiLevelType w:val="multilevel"/>
    <w:tmpl w:val="609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E0247"/>
    <w:multiLevelType w:val="multilevel"/>
    <w:tmpl w:val="3B7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4323D"/>
    <w:multiLevelType w:val="multilevel"/>
    <w:tmpl w:val="37507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7632A"/>
    <w:multiLevelType w:val="multilevel"/>
    <w:tmpl w:val="0366C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65456"/>
    <w:multiLevelType w:val="multilevel"/>
    <w:tmpl w:val="73226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83701"/>
    <w:multiLevelType w:val="multilevel"/>
    <w:tmpl w:val="A29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9594F"/>
    <w:multiLevelType w:val="multilevel"/>
    <w:tmpl w:val="F5148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944F4"/>
    <w:multiLevelType w:val="multilevel"/>
    <w:tmpl w:val="27BC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3019F"/>
    <w:multiLevelType w:val="multilevel"/>
    <w:tmpl w:val="C1F6B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302B5"/>
    <w:multiLevelType w:val="multilevel"/>
    <w:tmpl w:val="354E67A8"/>
    <w:lvl w:ilvl="0">
      <w:start w:val="1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5"/>
      <w:numFmt w:val="decimal"/>
      <w:lvlText w:val="%1.%2"/>
      <w:lvlJc w:val="left"/>
      <w:pPr>
        <w:ind w:left="2064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cstheme="minorBidi"/>
      </w:rPr>
    </w:lvl>
  </w:abstractNum>
  <w:abstractNum w:abstractNumId="15" w15:restartNumberingAfterBreak="0">
    <w:nsid w:val="434D15AF"/>
    <w:multiLevelType w:val="multilevel"/>
    <w:tmpl w:val="3320E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7410B"/>
    <w:multiLevelType w:val="multilevel"/>
    <w:tmpl w:val="EF6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44F72"/>
    <w:multiLevelType w:val="multilevel"/>
    <w:tmpl w:val="1B3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E5F42"/>
    <w:multiLevelType w:val="multilevel"/>
    <w:tmpl w:val="428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F4632"/>
    <w:multiLevelType w:val="multilevel"/>
    <w:tmpl w:val="7632C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B0D23"/>
    <w:multiLevelType w:val="multilevel"/>
    <w:tmpl w:val="3BF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B7BEB"/>
    <w:multiLevelType w:val="multilevel"/>
    <w:tmpl w:val="6A20C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6101B"/>
    <w:multiLevelType w:val="multilevel"/>
    <w:tmpl w:val="282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753F0"/>
    <w:multiLevelType w:val="multilevel"/>
    <w:tmpl w:val="A7F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24CA2"/>
    <w:multiLevelType w:val="multilevel"/>
    <w:tmpl w:val="6A2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690E"/>
    <w:multiLevelType w:val="multilevel"/>
    <w:tmpl w:val="131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A7310"/>
    <w:multiLevelType w:val="hybridMultilevel"/>
    <w:tmpl w:val="DBDE551A"/>
    <w:lvl w:ilvl="0" w:tplc="DAB2628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A3FC4"/>
    <w:multiLevelType w:val="multilevel"/>
    <w:tmpl w:val="E27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62832"/>
    <w:multiLevelType w:val="multilevel"/>
    <w:tmpl w:val="8976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num w:numId="1">
    <w:abstractNumId w:val="2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0E77"/>
    <w:rsid w:val="00003A09"/>
    <w:rsid w:val="000327EE"/>
    <w:rsid w:val="000A12C3"/>
    <w:rsid w:val="000A23E9"/>
    <w:rsid w:val="00195729"/>
    <w:rsid w:val="001B11C4"/>
    <w:rsid w:val="00224C85"/>
    <w:rsid w:val="0027615B"/>
    <w:rsid w:val="0029052C"/>
    <w:rsid w:val="002C253C"/>
    <w:rsid w:val="00380F74"/>
    <w:rsid w:val="003927DF"/>
    <w:rsid w:val="00396EAC"/>
    <w:rsid w:val="003E44A9"/>
    <w:rsid w:val="004607EB"/>
    <w:rsid w:val="005A35B8"/>
    <w:rsid w:val="0068188C"/>
    <w:rsid w:val="0071251B"/>
    <w:rsid w:val="0077686D"/>
    <w:rsid w:val="007A7BA8"/>
    <w:rsid w:val="007E2296"/>
    <w:rsid w:val="00816983"/>
    <w:rsid w:val="00863094"/>
    <w:rsid w:val="00871F9F"/>
    <w:rsid w:val="009707D9"/>
    <w:rsid w:val="0099023B"/>
    <w:rsid w:val="009B5CB0"/>
    <w:rsid w:val="00A7720E"/>
    <w:rsid w:val="00A96EDD"/>
    <w:rsid w:val="00BB1E5F"/>
    <w:rsid w:val="00BF059C"/>
    <w:rsid w:val="00C20490"/>
    <w:rsid w:val="00C26372"/>
    <w:rsid w:val="00CF22D8"/>
    <w:rsid w:val="00CF7654"/>
    <w:rsid w:val="00D25AC2"/>
    <w:rsid w:val="00D75904"/>
    <w:rsid w:val="00DC1030"/>
    <w:rsid w:val="00DD375E"/>
    <w:rsid w:val="00DF6B8F"/>
    <w:rsid w:val="00E051A5"/>
    <w:rsid w:val="00E45FEB"/>
    <w:rsid w:val="00E55B7F"/>
    <w:rsid w:val="00F20E77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A8F7-208D-4F53-B158-08DD8B1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7"/>
    <w:pPr>
      <w:spacing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0A2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E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A23E9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locked/>
    <w:rsid w:val="000A23E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qFormat/>
    <w:rsid w:val="000A23E9"/>
    <w:pPr>
      <w:spacing w:after="0" w:line="240" w:lineRule="auto"/>
      <w:ind w:left="0" w:firstLine="0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lock Text"/>
    <w:basedOn w:val="a"/>
    <w:unhideWhenUsed/>
    <w:rsid w:val="00380F74"/>
    <w:pPr>
      <w:widowControl w:val="0"/>
      <w:spacing w:after="0" w:line="240" w:lineRule="auto"/>
      <w:ind w:left="520" w:right="4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0F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2018-06-21T02:22:00Z</cp:lastPrinted>
  <dcterms:created xsi:type="dcterms:W3CDTF">2018-05-30T00:46:00Z</dcterms:created>
  <dcterms:modified xsi:type="dcterms:W3CDTF">2018-06-24T04:57:00Z</dcterms:modified>
</cp:coreProperties>
</file>